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508" w:line="253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2300-2014</w:t>
      </w:r>
      <w:r w:rsidR="006559D0">
        <w:rPr>
          <w:rStyle w:val="CharacterStyle1"/>
          <w:rFonts w:ascii="Verdana" w:hAnsi="Verdana" w:cs="Verdana"/>
          <w:spacing w:val="4"/>
        </w:rPr>
        <w:t xml:space="preserve"> 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59" w:line="253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6559D0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treinta y dos minutos del veinticuatro de julio de dos mil catorce.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780" w:line="253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z w:val="17"/>
          <w:szCs w:val="17"/>
        </w:rPr>
        <w:t xml:space="preserve">RECURSO DE REVOCATORIA Y/O REPOSICION, </w:t>
      </w:r>
      <w:r>
        <w:rPr>
          <w:rStyle w:val="CharacterStyle1"/>
          <w:rFonts w:ascii="Verdana" w:hAnsi="Verdana" w:cs="Verdana"/>
        </w:rPr>
        <w:t xml:space="preserve">interpuesto por el </w:t>
      </w:r>
      <w:r w:rsidR="006559D0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M</w:t>
      </w:r>
      <w:r w:rsidR="006559D0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G</w:t>
      </w:r>
      <w:r w:rsidR="006559D0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A</w:t>
      </w:r>
      <w:r w:rsidR="006559D0">
        <w:rPr>
          <w:rStyle w:val="CharacterStyle1"/>
          <w:rFonts w:ascii="Verdana" w:hAnsi="Verdana" w:cs="Verdana"/>
          <w:b/>
          <w:bCs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 xml:space="preserve">, </w:t>
      </w:r>
      <w:r w:rsidR="00941D29">
        <w:rPr>
          <w:rStyle w:val="CharacterStyle1"/>
          <w:rFonts w:ascii="Verdana" w:hAnsi="Verdana" w:cs="Verdana"/>
        </w:rPr>
        <w:t>cé</w:t>
      </w:r>
      <w:r>
        <w:rPr>
          <w:rStyle w:val="CharacterStyle1"/>
          <w:rFonts w:ascii="Verdana" w:hAnsi="Verdana" w:cs="Verdana"/>
        </w:rPr>
        <w:t>dula de identidad n</w:t>
      </w:r>
      <w:r w:rsidR="006559D0">
        <w:rPr>
          <w:rStyle w:val="CharacterStyle1"/>
          <w:rFonts w:ascii="Verdana" w:hAnsi="Verdana" w:cs="Verdana"/>
        </w:rPr>
        <w:t>ú</w:t>
      </w:r>
      <w:r>
        <w:rPr>
          <w:rStyle w:val="CharacterStyle1"/>
          <w:rFonts w:ascii="Verdana" w:hAnsi="Verdana" w:cs="Verdana"/>
        </w:rPr>
        <w:t xml:space="preserve">mero </w:t>
      </w:r>
      <w:r w:rsidR="00941D29">
        <w:rPr>
          <w:rStyle w:val="CharacterStyle1"/>
          <w:rFonts w:ascii="Verdana" w:hAnsi="Verdana" w:cs="Verdana"/>
        </w:rPr>
        <w:t>…</w:t>
      </w:r>
      <w:r>
        <w:rPr>
          <w:rStyle w:val="CharacterStyle1"/>
          <w:rFonts w:ascii="Verdana" w:hAnsi="Verdana" w:cs="Verdana"/>
        </w:rPr>
        <w:t xml:space="preserve">, en su </w:t>
      </w:r>
      <w:r w:rsidR="006559D0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6559D0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6559D0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V</w:t>
      </w:r>
      <w:r w:rsidR="006559D0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E</w:t>
      </w:r>
      <w:r w:rsidR="006559D0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Y</w:t>
      </w:r>
      <w:r w:rsidR="006559D0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M</w:t>
      </w:r>
      <w:r w:rsidR="006559D0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S.A., </w:t>
      </w:r>
      <w:r>
        <w:rPr>
          <w:rStyle w:val="CharacterStyle1"/>
          <w:rFonts w:ascii="Verdana" w:hAnsi="Verdana" w:cs="Verdana"/>
        </w:rPr>
        <w:t xml:space="preserve">contra la </w:t>
      </w:r>
      <w:r w:rsidR="006559D0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 de Transporte numero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</w:rPr>
        <w:t>Expediente Administrativo No. TAT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-</w:t>
      </w:r>
      <w:r>
        <w:rPr>
          <w:rStyle w:val="CharacterStyle1"/>
          <w:rFonts w:ascii="Verdana" w:hAnsi="Verdana" w:cs="Verdana"/>
          <w:b/>
          <w:bCs/>
        </w:rPr>
        <w:t>068</w:t>
      </w:r>
      <w:r>
        <w:rPr>
          <w:rStyle w:val="CharacterStyle1"/>
          <w:rFonts w:ascii="Verdana" w:hAnsi="Verdana" w:cs="Verdana"/>
          <w:b/>
          <w:bCs/>
          <w:sz w:val="17"/>
          <w:szCs w:val="17"/>
        </w:rPr>
        <w:t>-</w:t>
      </w:r>
      <w:r>
        <w:rPr>
          <w:rStyle w:val="CharacterStyle1"/>
          <w:rFonts w:ascii="Verdana" w:hAnsi="Verdana" w:cs="Verdana"/>
          <w:b/>
          <w:bCs/>
        </w:rPr>
        <w:t>14.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50" w:line="253" w:lineRule="exact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Redacta la Jueza </w:t>
      </w:r>
      <w:r w:rsidR="006559D0">
        <w:rPr>
          <w:rStyle w:val="CharacterStyle1"/>
          <w:rFonts w:ascii="Verdana" w:hAnsi="Verdana" w:cs="Verdana"/>
          <w:spacing w:val="4"/>
        </w:rPr>
        <w:t>Pérez</w:t>
      </w:r>
      <w:r>
        <w:rPr>
          <w:rStyle w:val="CharacterStyle1"/>
          <w:rFonts w:ascii="Verdana" w:hAnsi="Verdana" w:cs="Verdana"/>
          <w:spacing w:val="4"/>
        </w:rPr>
        <w:t xml:space="preserve"> Pel</w:t>
      </w:r>
      <w:r w:rsidR="006559D0">
        <w:rPr>
          <w:rStyle w:val="CharacterStyle1"/>
          <w:rFonts w:ascii="Verdana" w:hAnsi="Verdana" w:cs="Verdana"/>
          <w:spacing w:val="4"/>
        </w:rPr>
        <w:t>á</w:t>
      </w:r>
      <w:r>
        <w:rPr>
          <w:rStyle w:val="CharacterStyle1"/>
          <w:rFonts w:ascii="Verdana" w:hAnsi="Verdana" w:cs="Verdana"/>
          <w:spacing w:val="4"/>
        </w:rPr>
        <w:t>ez; y,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71" w:line="24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73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56" w:line="253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Recurso Presentado por la empresa </w:t>
      </w:r>
      <w:r w:rsidR="006559D0">
        <w:rPr>
          <w:rStyle w:val="CharacterStyle1"/>
          <w:rFonts w:ascii="Verdana" w:hAnsi="Verdana" w:cs="Verdana"/>
          <w:b/>
          <w:bCs/>
        </w:rPr>
        <w:t>V.E.Y.M.S.A.</w:t>
      </w:r>
      <w:r w:rsidR="00941D29">
        <w:rPr>
          <w:rStyle w:val="CharacterStyle1"/>
          <w:rFonts w:ascii="Verdana" w:hAnsi="Verdana" w:cs="Verdana"/>
          <w:b/>
          <w:bCs/>
        </w:rPr>
        <w:t>,</w:t>
      </w:r>
      <w:r w:rsidR="006559D0">
        <w:rPr>
          <w:rStyle w:val="CharacterStyle1"/>
          <w:rFonts w:ascii="Verdana" w:hAnsi="Verdana" w:cs="Verdana"/>
          <w:b/>
          <w:bCs/>
        </w:rPr>
        <w:t xml:space="preserve"> </w:t>
      </w:r>
      <w:r>
        <w:rPr>
          <w:rStyle w:val="CharacterStyle1"/>
          <w:rFonts w:ascii="Verdana" w:hAnsi="Verdana" w:cs="Verdana"/>
        </w:rPr>
        <w:t>es improcedente y debe rechazarse Ad Portas, por las razones que de seguido se indican: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77" w:line="253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4"/>
        </w:rPr>
        <w:t xml:space="preserve">El Tribunal Administrativo de Transporte, conforme al </w:t>
      </w:r>
      <w:r w:rsidR="006559D0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22 de la </w:t>
      </w:r>
      <w:r>
        <w:rPr>
          <w:rStyle w:val="CharacterStyle1"/>
          <w:spacing w:val="4"/>
          <w:sz w:val="21"/>
          <w:szCs w:val="21"/>
        </w:rPr>
        <w:t xml:space="preserve">Ley </w:t>
      </w:r>
      <w:r>
        <w:rPr>
          <w:rStyle w:val="CharacterStyle1"/>
          <w:rFonts w:ascii="Verdana" w:hAnsi="Verdana" w:cs="Verdana"/>
          <w:spacing w:val="4"/>
        </w:rPr>
        <w:t>Reguladora del Servicio P</w:t>
      </w:r>
      <w:r w:rsidR="006559D0">
        <w:rPr>
          <w:rStyle w:val="CharacterStyle1"/>
          <w:rFonts w:ascii="Verdana" w:hAnsi="Verdana" w:cs="Verdana"/>
          <w:spacing w:val="4"/>
        </w:rPr>
        <w:t>ú</w:t>
      </w:r>
      <w:r>
        <w:rPr>
          <w:rStyle w:val="CharacterStyle1"/>
          <w:rFonts w:ascii="Verdana" w:hAnsi="Verdana" w:cs="Verdana"/>
          <w:spacing w:val="4"/>
        </w:rPr>
        <w:t xml:space="preserve">blico de Transporte Remunerado de Personas en </w:t>
      </w:r>
      <w:r w:rsidR="006559D0">
        <w:rPr>
          <w:rStyle w:val="CharacterStyle1"/>
          <w:rFonts w:ascii="Verdana" w:hAnsi="Verdana" w:cs="Verdana"/>
          <w:spacing w:val="4"/>
        </w:rPr>
        <w:t>Vehículos</w:t>
      </w:r>
      <w:r>
        <w:rPr>
          <w:rStyle w:val="CharacterStyle1"/>
          <w:rFonts w:ascii="Verdana" w:hAnsi="Verdana" w:cs="Verdana"/>
          <w:spacing w:val="4"/>
        </w:rPr>
        <w:t xml:space="preserve"> en la Modalidad de Taxi, No. 7969 del 22 de diciembre de 1999 y el Dictamen de la </w:t>
      </w:r>
      <w:r w:rsidR="006559D0">
        <w:rPr>
          <w:rStyle w:val="CharacterStyle1"/>
          <w:rFonts w:ascii="Verdana" w:hAnsi="Verdana" w:cs="Verdana"/>
          <w:spacing w:val="4"/>
        </w:rPr>
        <w:t>Procuraduría</w:t>
      </w:r>
      <w:r>
        <w:rPr>
          <w:rStyle w:val="CharacterStyle1"/>
          <w:rFonts w:ascii="Verdana" w:hAnsi="Verdana" w:cs="Verdana"/>
          <w:spacing w:val="4"/>
        </w:rPr>
        <w:t xml:space="preserve"> General de la Republica No C-037-2000, del 25 de febrero del 2000, es competente para conocer y resolver los recursos de </w:t>
      </w:r>
      <w:r w:rsidR="006559D0">
        <w:rPr>
          <w:rStyle w:val="CharacterStyle1"/>
          <w:rFonts w:ascii="Verdana" w:hAnsi="Verdana" w:cs="Verdana"/>
          <w:spacing w:val="4"/>
        </w:rPr>
        <w:t>apelación</w:t>
      </w:r>
      <w:r>
        <w:rPr>
          <w:rStyle w:val="CharacterStyle1"/>
          <w:rFonts w:ascii="Verdana" w:hAnsi="Verdana" w:cs="Verdana"/>
          <w:spacing w:val="4"/>
        </w:rPr>
        <w:t xml:space="preserve"> venidos en alzada en contra de los actos o resoluciones emana</w:t>
      </w:r>
      <w:r w:rsidR="006559D0">
        <w:rPr>
          <w:rStyle w:val="CharacterStyle1"/>
          <w:rFonts w:ascii="Verdana" w:hAnsi="Verdana" w:cs="Verdana"/>
          <w:spacing w:val="4"/>
        </w:rPr>
        <w:t>das del Consejo de Transporte Pú</w:t>
      </w:r>
      <w:r>
        <w:rPr>
          <w:rStyle w:val="CharacterStyle1"/>
          <w:rFonts w:ascii="Verdana" w:hAnsi="Verdana" w:cs="Verdana"/>
          <w:spacing w:val="4"/>
        </w:rPr>
        <w:t>blic</w:t>
      </w:r>
      <w:r w:rsidR="006559D0">
        <w:rPr>
          <w:rStyle w:val="CharacterStyle1"/>
          <w:rFonts w:ascii="Verdana" w:hAnsi="Verdana" w:cs="Verdana"/>
          <w:spacing w:val="4"/>
        </w:rPr>
        <w:t>o</w:t>
      </w:r>
      <w:r>
        <w:rPr>
          <w:rStyle w:val="CharacterStyle1"/>
          <w:rFonts w:ascii="Verdana" w:hAnsi="Verdana" w:cs="Verdana"/>
          <w:spacing w:val="4"/>
        </w:rPr>
        <w:t xml:space="preserve">. Esta normativa especializada, debe integrarse para su correcta </w:t>
      </w:r>
      <w:r w:rsidR="006559D0">
        <w:rPr>
          <w:rStyle w:val="CharacterStyle1"/>
          <w:rFonts w:ascii="Verdana" w:hAnsi="Verdana" w:cs="Verdana"/>
          <w:spacing w:val="4"/>
        </w:rPr>
        <w:t>dimensión</w:t>
      </w:r>
      <w:r>
        <w:rPr>
          <w:rStyle w:val="CharacterStyle1"/>
          <w:rFonts w:ascii="Verdana" w:hAnsi="Verdana" w:cs="Verdana"/>
          <w:spacing w:val="4"/>
        </w:rPr>
        <w:t xml:space="preserve">, con el </w:t>
      </w:r>
      <w:r w:rsidR="006559D0">
        <w:rPr>
          <w:rStyle w:val="CharacterStyle1"/>
          <w:rFonts w:ascii="Verdana" w:hAnsi="Verdana" w:cs="Verdana"/>
          <w:spacing w:val="4"/>
        </w:rPr>
        <w:t>artículo</w:t>
      </w:r>
      <w:r>
        <w:rPr>
          <w:rStyle w:val="CharacterStyle1"/>
          <w:rFonts w:ascii="Verdana" w:hAnsi="Verdana" w:cs="Verdana"/>
          <w:spacing w:val="4"/>
        </w:rPr>
        <w:t xml:space="preserve"> 181 de la</w:t>
      </w:r>
      <w:r w:rsidR="006559D0">
        <w:rPr>
          <w:rStyle w:val="CharacterStyle1"/>
          <w:rFonts w:ascii="Verdana" w:hAnsi="Verdana" w:cs="Verdana"/>
          <w:spacing w:val="4"/>
        </w:rPr>
        <w:t xml:space="preserve"> Ley General de la Administració</w:t>
      </w:r>
      <w:r>
        <w:rPr>
          <w:rStyle w:val="CharacterStyle1"/>
          <w:rFonts w:ascii="Verdana" w:hAnsi="Verdana" w:cs="Verdana"/>
          <w:spacing w:val="4"/>
        </w:rPr>
        <w:t xml:space="preserve">n </w:t>
      </w:r>
      <w:r w:rsidR="006559D0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>, se</w:t>
      </w:r>
      <w:r w:rsidR="006559D0">
        <w:rPr>
          <w:rStyle w:val="CharacterStyle1"/>
          <w:rFonts w:ascii="Verdana" w:hAnsi="Verdana" w:cs="Verdana"/>
          <w:spacing w:val="4"/>
        </w:rPr>
        <w:t>ñ</w:t>
      </w:r>
      <w:r>
        <w:rPr>
          <w:rStyle w:val="CharacterStyle1"/>
          <w:rFonts w:ascii="Verdana" w:hAnsi="Verdana" w:cs="Verdana"/>
          <w:spacing w:val="4"/>
        </w:rPr>
        <w:t>ala textualmente</w:t>
      </w:r>
      <w:r w:rsidR="006559D0">
        <w:rPr>
          <w:rStyle w:val="CharacterStyle1"/>
          <w:rFonts w:ascii="Verdana" w:hAnsi="Verdana" w:cs="Verdana"/>
          <w:spacing w:val="4"/>
        </w:rPr>
        <w:t xml:space="preserve"> </w:t>
      </w:r>
      <w:r>
        <w:rPr>
          <w:rStyle w:val="CharacterStyle1"/>
          <w:rFonts w:ascii="Verdana" w:hAnsi="Verdana" w:cs="Verdana"/>
          <w:spacing w:val="4"/>
        </w:rPr>
        <w:t>lo siguiente: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64" w:line="253" w:lineRule="exact"/>
        <w:ind w:left="576" w:right="720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</w:t>
      </w:r>
      <w:r w:rsidR="006559D0">
        <w:rPr>
          <w:rStyle w:val="CharacterStyle1"/>
          <w:rFonts w:ascii="Verdana" w:hAnsi="Verdana" w:cs="Verdana"/>
        </w:rPr>
        <w:t>í</w:t>
      </w:r>
      <w:r>
        <w:rPr>
          <w:rStyle w:val="CharacterStyle1"/>
          <w:rFonts w:ascii="Verdana" w:hAnsi="Verdana" w:cs="Verdana"/>
        </w:rPr>
        <w:t>culo</w:t>
      </w:r>
      <w:proofErr w:type="gramEnd"/>
      <w:r>
        <w:rPr>
          <w:rStyle w:val="CharacterStyle1"/>
          <w:rFonts w:ascii="Verdana" w:hAnsi="Verdana" w:cs="Verdana"/>
        </w:rPr>
        <w:t xml:space="preserve"> 181.- El Contralor no </w:t>
      </w:r>
      <w:r w:rsidR="006559D0">
        <w:rPr>
          <w:rStyle w:val="CharacterStyle1"/>
          <w:rFonts w:ascii="Verdana" w:hAnsi="Verdana" w:cs="Verdana"/>
        </w:rPr>
        <w:t>jerárquico podrá</w:t>
      </w:r>
      <w:r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 w:rsidR="006559D0">
        <w:rPr>
          <w:rStyle w:val="CharacterStyle1"/>
          <w:rFonts w:ascii="Verdana" w:hAnsi="Verdana" w:cs="Verdana"/>
        </w:rPr>
        <w:t>decidirá</w:t>
      </w:r>
      <w:r>
        <w:rPr>
          <w:rStyle w:val="CharacterStyle1"/>
          <w:rFonts w:ascii="Verdana" w:hAnsi="Verdana" w:cs="Verdana"/>
        </w:rPr>
        <w:t xml:space="preserve"> dentro del </w:t>
      </w:r>
      <w:r w:rsidR="006559D0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 w:rsidR="006559D0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519" w:line="253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6559D0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v </w:t>
      </w:r>
      <w:r w:rsidR="006559D0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6559D0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</w:t>
      </w:r>
      <w:r w:rsidR="006559D0">
        <w:rPr>
          <w:rStyle w:val="CharacterStyle1"/>
          <w:rFonts w:ascii="Verdana" w:hAnsi="Verdana" w:cs="Verdana"/>
          <w:i/>
          <w:iCs/>
          <w:u w:val="single"/>
        </w:rPr>
        <w:t>administrativa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 </w:t>
      </w:r>
      <w:r>
        <w:rPr>
          <w:rStyle w:val="CharacterStyle1"/>
          <w:rFonts w:ascii="Verdana" w:hAnsi="Verdana" w:cs="Verdana"/>
        </w:rPr>
        <w:t xml:space="preserve"> (el</w:t>
      </w:r>
    </w:p>
    <w:p w:rsidR="00875F8C" w:rsidRDefault="00875F8C">
      <w:pPr>
        <w:widowControl/>
        <w:kinsoku/>
        <w:overflowPunct/>
        <w:autoSpaceDE w:val="0"/>
        <w:autoSpaceDN w:val="0"/>
        <w:adjustRightInd w:val="0"/>
        <w:textAlignment w:val="auto"/>
        <w:sectPr w:rsidR="00875F8C">
          <w:pgSz w:w="12120" w:h="15840"/>
          <w:pgMar w:top="1334" w:right="1906" w:bottom="312" w:left="2034" w:header="720" w:footer="720" w:gutter="0"/>
          <w:cols w:space="720"/>
          <w:noEndnote/>
        </w:sectPr>
      </w:pP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5" w:line="255" w:lineRule="exact"/>
        <w:ind w:right="576"/>
        <w:jc w:val="both"/>
        <w:textAlignment w:val="baseline"/>
        <w:rPr>
          <w:rStyle w:val="CharacterStyle1"/>
          <w:rFonts w:ascii="Tahoma" w:hAnsi="Tahoma" w:cs="Tahoma"/>
          <w:spacing w:val="11"/>
          <w:sz w:val="21"/>
          <w:szCs w:val="21"/>
        </w:rPr>
      </w:pPr>
      <w:proofErr w:type="gramStart"/>
      <w:r>
        <w:rPr>
          <w:rStyle w:val="CharacterStyle1"/>
          <w:rFonts w:ascii="Tahoma" w:hAnsi="Tahoma" w:cs="Tahoma"/>
          <w:spacing w:val="11"/>
          <w:sz w:val="21"/>
          <w:szCs w:val="21"/>
        </w:rPr>
        <w:lastRenderedPageBreak/>
        <w:t>resaltado</w:t>
      </w:r>
      <w:proofErr w:type="gramEnd"/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es nuestro), por lo que el Tribunal, debe proceder al rechazo del recurso de Revocatoria que se presenta contra su propia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por ser improcedente.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50" w:line="255" w:lineRule="exact"/>
        <w:ind w:right="576"/>
        <w:jc w:val="both"/>
        <w:textAlignment w:val="baseline"/>
        <w:rPr>
          <w:rStyle w:val="CharacterStyle1"/>
          <w:rFonts w:ascii="Tahoma" w:hAnsi="Tahoma" w:cs="Tahoma"/>
          <w:spacing w:val="13"/>
          <w:sz w:val="21"/>
          <w:szCs w:val="21"/>
        </w:rPr>
      </w:pPr>
      <w:r>
        <w:rPr>
          <w:rStyle w:val="CharacterStyle1"/>
          <w:rFonts w:ascii="Tahoma" w:hAnsi="Tahoma" w:cs="Tahoma"/>
          <w:spacing w:val="13"/>
          <w:sz w:val="21"/>
          <w:szCs w:val="21"/>
        </w:rPr>
        <w:t xml:space="preserve">El recurrente presenta un recurso de Revocatoria en contra de una </w:t>
      </w:r>
      <w:r w:rsidR="006559D0">
        <w:rPr>
          <w:rStyle w:val="CharacterStyle1"/>
          <w:rFonts w:ascii="Tahoma" w:hAnsi="Tahoma" w:cs="Tahoma"/>
          <w:spacing w:val="13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t xml:space="preserve"> emanada de este despacho, por lo que el mismo deviene en improcedente ya que de acuerdo con lo indicado en el </w:t>
      </w:r>
      <w:r w:rsidR="006559D0">
        <w:rPr>
          <w:rStyle w:val="CharacterStyle1"/>
          <w:rFonts w:ascii="Tahoma" w:hAnsi="Tahoma" w:cs="Tahoma"/>
          <w:spacing w:val="13"/>
          <w:sz w:val="21"/>
          <w:szCs w:val="21"/>
        </w:rPr>
        <w:t>párrafo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t xml:space="preserve"> precedente, las resoluciones del Tribunal carecen de ulter</w:t>
      </w:r>
      <w:r w:rsidR="006559D0">
        <w:rPr>
          <w:rStyle w:val="CharacterStyle1"/>
          <w:rFonts w:ascii="Tahoma" w:hAnsi="Tahoma" w:cs="Tahoma"/>
          <w:spacing w:val="13"/>
          <w:sz w:val="21"/>
          <w:szCs w:val="21"/>
        </w:rPr>
        <w:t>ior recurso, esto se sustenta aú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t>n m</w:t>
      </w:r>
      <w:r w:rsidR="006559D0">
        <w:rPr>
          <w:rStyle w:val="CharacterStyle1"/>
          <w:rFonts w:ascii="Tahoma" w:hAnsi="Tahoma" w:cs="Tahoma"/>
          <w:spacing w:val="13"/>
          <w:sz w:val="21"/>
          <w:szCs w:val="21"/>
        </w:rPr>
        <w:t>á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t xml:space="preserve">s, en el numeral 292 de la Ley General de la </w:t>
      </w:r>
      <w:r w:rsidR="006559D0">
        <w:rPr>
          <w:rStyle w:val="CharacterStyle1"/>
          <w:rFonts w:ascii="Tahoma" w:hAnsi="Tahoma" w:cs="Tahoma"/>
          <w:spacing w:val="13"/>
          <w:sz w:val="21"/>
          <w:szCs w:val="21"/>
        </w:rPr>
        <w:t>Administración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t xml:space="preserve"> </w:t>
      </w:r>
      <w:r w:rsidR="006559D0">
        <w:rPr>
          <w:rStyle w:val="CharacterStyle1"/>
          <w:rFonts w:ascii="Tahoma" w:hAnsi="Tahoma" w:cs="Tahoma"/>
          <w:spacing w:val="13"/>
          <w:sz w:val="21"/>
          <w:szCs w:val="21"/>
        </w:rPr>
        <w:t>Pública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t xml:space="preserve"> que indica: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253" w:line="255" w:lineRule="exact"/>
        <w:textAlignment w:val="baseline"/>
        <w:rPr>
          <w:rStyle w:val="CharacterStyle1"/>
          <w:rFonts w:ascii="Tahoma" w:hAnsi="Tahoma" w:cs="Tahoma"/>
        </w:rPr>
      </w:pPr>
      <w:r>
        <w:rPr>
          <w:rStyle w:val="CharacterStyle1"/>
          <w:rFonts w:ascii="Tahoma" w:hAnsi="Tahoma" w:cs="Tahoma"/>
          <w:spacing w:val="13"/>
          <w:sz w:val="21"/>
          <w:szCs w:val="21"/>
        </w:rPr>
        <w:t>Articulo 292.</w:t>
      </w:r>
      <w:r>
        <w:rPr>
          <w:rStyle w:val="CharacterStyle1"/>
          <w:rFonts w:ascii="Tahoma" w:hAnsi="Tahoma" w:cs="Tahoma"/>
          <w:spacing w:val="13"/>
          <w:sz w:val="21"/>
          <w:szCs w:val="21"/>
        </w:rPr>
        <w:noBreakHyphen/>
      </w:r>
    </w:p>
    <w:p w:rsidR="00875F8C" w:rsidRDefault="007A57C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9" w:line="254" w:lineRule="exact"/>
        <w:ind w:right="576"/>
        <w:jc w:val="both"/>
        <w:textAlignment w:val="baseline"/>
        <w:rPr>
          <w:rStyle w:val="CharacterStyle1"/>
          <w:rFonts w:ascii="Tahoma" w:hAnsi="Tahoma" w:cs="Tahoma"/>
          <w:sz w:val="21"/>
          <w:szCs w:val="21"/>
        </w:rPr>
      </w:pPr>
      <w:r>
        <w:rPr>
          <w:rStyle w:val="CharacterStyle1"/>
          <w:rFonts w:ascii="Tahoma" w:hAnsi="Tahoma" w:cs="Tahoma"/>
          <w:sz w:val="21"/>
          <w:szCs w:val="21"/>
        </w:rPr>
        <w:t xml:space="preserve">Toda </w:t>
      </w:r>
      <w:r w:rsidR="006559D0">
        <w:rPr>
          <w:rStyle w:val="CharacterStyle1"/>
          <w:rFonts w:ascii="Tahoma" w:hAnsi="Tahoma" w:cs="Tahoma"/>
          <w:sz w:val="21"/>
          <w:szCs w:val="21"/>
        </w:rPr>
        <w:t>petición</w:t>
      </w:r>
      <w:r>
        <w:rPr>
          <w:rStyle w:val="CharacterStyle1"/>
          <w:rFonts w:ascii="Tahoma" w:hAnsi="Tahoma" w:cs="Tahoma"/>
          <w:sz w:val="21"/>
          <w:szCs w:val="21"/>
        </w:rPr>
        <w:t xml:space="preserve"> o </w:t>
      </w:r>
      <w:r w:rsidR="006559D0">
        <w:rPr>
          <w:rStyle w:val="CharacterStyle1"/>
          <w:rFonts w:ascii="Tahoma" w:hAnsi="Tahoma" w:cs="Tahoma"/>
          <w:sz w:val="21"/>
          <w:szCs w:val="21"/>
        </w:rPr>
        <w:t>reclamación</w:t>
      </w:r>
      <w:r>
        <w:rPr>
          <w:rStyle w:val="CharacterStyle1"/>
          <w:rFonts w:ascii="Tahoma" w:hAnsi="Tahoma" w:cs="Tahoma"/>
          <w:sz w:val="21"/>
          <w:szCs w:val="21"/>
        </w:rPr>
        <w:t xml:space="preserve"> mal interpuesta </w:t>
      </w:r>
      <w:r w:rsidR="006559D0">
        <w:rPr>
          <w:rStyle w:val="CharacterStyle1"/>
          <w:rFonts w:ascii="Tahoma" w:hAnsi="Tahoma" w:cs="Tahoma"/>
          <w:sz w:val="21"/>
          <w:szCs w:val="21"/>
        </w:rPr>
        <w:t>podrá</w:t>
      </w:r>
      <w:r>
        <w:rPr>
          <w:rStyle w:val="CharacterStyle1"/>
          <w:rFonts w:ascii="Tahoma" w:hAnsi="Tahoma" w:cs="Tahoma"/>
          <w:sz w:val="21"/>
          <w:szCs w:val="21"/>
        </w:rPr>
        <w:t xml:space="preserve"> ser tramitada de oficio por la autoridad correspondiente.</w:t>
      </w:r>
    </w:p>
    <w:p w:rsidR="00875F8C" w:rsidRDefault="007A57C2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4" w:lineRule="exact"/>
        <w:ind w:right="576"/>
        <w:jc w:val="both"/>
        <w:textAlignment w:val="baseline"/>
        <w:rPr>
          <w:rStyle w:val="CharacterStyle1"/>
          <w:rFonts w:ascii="Tahoma" w:hAnsi="Tahoma" w:cs="Tahoma"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Sin embargo, la autoridad administrativa no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estará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sujeta al termino para pronunciar su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decisión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al respecto, ni obligada a hacerlo, salvo en lo que respecta a la inadmisibilidad de la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petición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o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reclamación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>.</w:t>
      </w:r>
    </w:p>
    <w:p w:rsidR="00875F8C" w:rsidRDefault="007A57C2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4" w:lineRule="exact"/>
        <w:ind w:right="576"/>
        <w:jc w:val="both"/>
        <w:textAlignment w:val="baseline"/>
        <w:rPr>
          <w:rStyle w:val="CharacterStyle1"/>
          <w:rFonts w:ascii="Tahoma" w:hAnsi="Tahoma" w:cs="Tahoma"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La 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Administración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rechazar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á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de p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l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ano las peticiones que fueren 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extemporáneas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spacing w:val="11"/>
          <w:u w:val="single"/>
        </w:rPr>
        <w:t>o evidentemente improcedentes.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La 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que rechace de p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l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ano una 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petición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tendrá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los mismos recursos que la 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 final." 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>(el resaltado es nuestro)</w:t>
      </w:r>
    </w:p>
    <w:p w:rsidR="00875F8C" w:rsidRDefault="007A57C2">
      <w:pPr>
        <w:pStyle w:val="Style1"/>
        <w:kinsoku w:val="0"/>
        <w:overflowPunct w:val="0"/>
        <w:autoSpaceDE/>
        <w:autoSpaceDN/>
        <w:adjustRightInd/>
        <w:spacing w:before="522" w:line="246" w:lineRule="exact"/>
        <w:ind w:left="3312"/>
        <w:textAlignment w:val="baseline"/>
        <w:rPr>
          <w:rStyle w:val="CharacterStyle1"/>
          <w:rFonts w:ascii="Tahoma" w:hAnsi="Tahoma" w:cs="Tahoma"/>
          <w:b/>
          <w:bCs/>
          <w:spacing w:val="8"/>
          <w:sz w:val="21"/>
          <w:szCs w:val="21"/>
        </w:rPr>
      </w:pPr>
      <w:r>
        <w:rPr>
          <w:rStyle w:val="CharacterStyle1"/>
          <w:rFonts w:ascii="Tahoma" w:hAnsi="Tahoma" w:cs="Tahoma"/>
          <w:b/>
          <w:bCs/>
          <w:spacing w:val="8"/>
          <w:sz w:val="21"/>
          <w:szCs w:val="21"/>
        </w:rPr>
        <w:t>POR TANTO:</w:t>
      </w:r>
    </w:p>
    <w:p w:rsidR="00875F8C" w:rsidRDefault="007A57C2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6" w:line="255" w:lineRule="exact"/>
        <w:ind w:right="576"/>
        <w:jc w:val="both"/>
        <w:textAlignment w:val="baseline"/>
        <w:rPr>
          <w:rStyle w:val="CharacterStyle1"/>
          <w:rFonts w:ascii="Tahoma" w:hAnsi="Tahoma" w:cs="Tahoma"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spacing w:val="11"/>
          <w:sz w:val="21"/>
          <w:szCs w:val="21"/>
        </w:rPr>
        <w:t>Se rechaza Ad Portas por improcedente, el RECURS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O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DE REVOCATORIA, interpuesto por el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señor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M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.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G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.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A</w:t>
      </w:r>
      <w:r w:rsidR="006559D0"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.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, </w:t>
      </w:r>
      <w:r w:rsidR="00941D29">
        <w:rPr>
          <w:rStyle w:val="CharacterStyle1"/>
          <w:rFonts w:ascii="Tahoma" w:hAnsi="Tahoma" w:cs="Tahoma"/>
          <w:spacing w:val="11"/>
          <w:sz w:val="21"/>
          <w:szCs w:val="21"/>
        </w:rPr>
        <w:t>cé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dula de identidad núm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ero </w:t>
      </w:r>
      <w:r w:rsidR="00941D29">
        <w:rPr>
          <w:rStyle w:val="CharacterStyle1"/>
          <w:rFonts w:ascii="Tahoma" w:hAnsi="Tahoma" w:cs="Tahoma"/>
          <w:spacing w:val="11"/>
          <w:sz w:val="21"/>
          <w:szCs w:val="21"/>
        </w:rPr>
        <w:t>…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, en su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condición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de Apoderado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Generalísimo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sin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Límite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de Suma de la Empresa </w:t>
      </w:r>
      <w:r w:rsidR="006559D0">
        <w:rPr>
          <w:rStyle w:val="CharacterStyle1"/>
          <w:rFonts w:ascii="Verdana" w:hAnsi="Verdana" w:cs="Verdana"/>
          <w:b/>
          <w:bCs/>
        </w:rPr>
        <w:t>V.E.Y.M.S.A.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 xml:space="preserve">., 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contra la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del Tribunal Administrativo de Transporte numero TAT-2263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softHyphen/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-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>2014 de las doce horas del doce de junio del dos mil catorce.</w:t>
      </w:r>
    </w:p>
    <w:p w:rsidR="00875F8C" w:rsidRDefault="007A57C2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7" w:after="504" w:line="255" w:lineRule="exact"/>
        <w:ind w:right="576"/>
        <w:jc w:val="both"/>
        <w:textAlignment w:val="baseline"/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De conformidad con el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artículo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22, inciso c), de la citada Ley 7969, la presente </w:t>
      </w:r>
      <w:r w:rsidR="006559D0">
        <w:rPr>
          <w:rStyle w:val="CharacterStyle1"/>
          <w:rFonts w:ascii="Tahoma" w:hAnsi="Tahoma" w:cs="Tahoma"/>
          <w:spacing w:val="11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  <w:spacing w:val="11"/>
        </w:rPr>
        <w:t xml:space="preserve">tiene por agotada la </w:t>
      </w:r>
      <w:r w:rsidR="006559D0">
        <w:rPr>
          <w:rStyle w:val="CharacterStyle1"/>
          <w:rFonts w:ascii="Verdana" w:hAnsi="Verdana" w:cs="Verdana"/>
          <w:i/>
          <w:iCs/>
          <w:spacing w:val="11"/>
        </w:rPr>
        <w:t>vía</w:t>
      </w:r>
      <w:r>
        <w:rPr>
          <w:rStyle w:val="CharacterStyle1"/>
          <w:rFonts w:ascii="Verdana" w:hAnsi="Verdana" w:cs="Verdana"/>
          <w:i/>
          <w:iCs/>
          <w:spacing w:val="11"/>
        </w:rPr>
        <w:t xml:space="preserve"> administrativa. </w:t>
      </w: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NOTIFIQUESE.-</w:t>
      </w:r>
    </w:p>
    <w:p w:rsidR="006559D0" w:rsidRDefault="006559D0" w:rsidP="006559D0">
      <w:pPr>
        <w:pStyle w:val="Style1"/>
        <w:kinsoku w:val="0"/>
        <w:overflowPunct w:val="0"/>
        <w:autoSpaceDE/>
        <w:autoSpaceDN/>
        <w:adjustRightInd/>
        <w:spacing w:before="7" w:after="504" w:line="255" w:lineRule="exact"/>
        <w:ind w:right="576"/>
        <w:jc w:val="both"/>
        <w:textAlignment w:val="baseline"/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</w:pPr>
    </w:p>
    <w:p w:rsidR="006559D0" w:rsidRDefault="006559D0" w:rsidP="006559D0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6559D0" w:rsidRPr="005D013E" w:rsidRDefault="006559D0" w:rsidP="006559D0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6559D0" w:rsidRDefault="006559D0" w:rsidP="006559D0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6559D0" w:rsidRDefault="006559D0" w:rsidP="006559D0">
      <w:pPr>
        <w:pStyle w:val="Style1"/>
        <w:kinsoku w:val="0"/>
        <w:overflowPunct w:val="0"/>
        <w:autoSpaceDE/>
        <w:autoSpaceDN/>
        <w:adjustRightInd/>
        <w:spacing w:after="100" w:afterAutospacing="1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</w:p>
    <w:p w:rsidR="006559D0" w:rsidRDefault="006559D0" w:rsidP="006559D0">
      <w:pPr>
        <w:pStyle w:val="Style1"/>
        <w:kinsoku w:val="0"/>
        <w:overflowPunct w:val="0"/>
        <w:autoSpaceDE/>
        <w:autoSpaceDN/>
        <w:adjustRightInd/>
        <w:spacing w:before="255" w:after="109" w:line="256" w:lineRule="exact"/>
        <w:ind w:left="72" w:right="21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6559D0" w:rsidRDefault="006559D0" w:rsidP="006559D0">
      <w:pPr>
        <w:pStyle w:val="Style1"/>
        <w:kinsoku w:val="0"/>
        <w:overflowPunct w:val="0"/>
        <w:autoSpaceDE/>
        <w:autoSpaceDN/>
        <w:adjustRightInd/>
        <w:spacing w:before="255" w:after="109" w:line="256" w:lineRule="exact"/>
        <w:ind w:left="72" w:right="216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875F8C" w:rsidRDefault="00875F8C" w:rsidP="007A57C2">
      <w:pPr>
        <w:spacing w:before="4205" w:line="288" w:lineRule="exact"/>
        <w:sectPr w:rsidR="00875F8C">
          <w:pgSz w:w="12120" w:h="15840"/>
          <w:pgMar w:top="1400" w:right="1420" w:bottom="140" w:left="2069" w:header="720" w:footer="720" w:gutter="0"/>
          <w:cols w:space="720"/>
          <w:noEndnote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31.55pt;height:223.75pt;z-index:-25165875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75F8C" w:rsidRDefault="00875F8C"/>
              </w:txbxContent>
            </v:textbox>
          </v:shape>
        </w:pict>
      </w:r>
    </w:p>
    <w:p w:rsidR="00875F8C" w:rsidRDefault="00875F8C" w:rsidP="006559D0">
      <w:pPr>
        <w:pStyle w:val="Style1"/>
        <w:kinsoku w:val="0"/>
        <w:overflowPunct w:val="0"/>
        <w:autoSpaceDE/>
        <w:autoSpaceDN/>
        <w:adjustRightInd/>
        <w:spacing w:before="105" w:line="255" w:lineRule="exact"/>
        <w:textAlignment w:val="baseline"/>
        <w:rPr>
          <w:rStyle w:val="CharacterStyle1"/>
          <w:spacing w:val="12"/>
          <w:sz w:val="21"/>
          <w:szCs w:val="21"/>
        </w:rPr>
      </w:pPr>
    </w:p>
    <w:sectPr w:rsidR="00875F8C" w:rsidSect="00875F8C">
      <w:type w:val="continuous"/>
      <w:pgSz w:w="12120" w:h="15840"/>
      <w:pgMar w:top="1400" w:right="2031" w:bottom="140" w:left="734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F067"/>
    <w:multiLevelType w:val="singleLevel"/>
    <w:tmpl w:val="1E169B36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Tahoma" w:hAnsi="Tahoma" w:cs="Tahoma"/>
        <w:snapToGrid/>
        <w:spacing w:val="11"/>
        <w:sz w:val="21"/>
        <w:szCs w:val="21"/>
      </w:rPr>
    </w:lvl>
  </w:abstractNum>
  <w:abstractNum w:abstractNumId="1">
    <w:nsid w:val="079F83F1"/>
    <w:multiLevelType w:val="singleLevel"/>
    <w:tmpl w:val="0BEC2A2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hAnsi="Tahoma" w:cs="Tahoma"/>
        <w:snapToGrid/>
        <w:sz w:val="21"/>
        <w:szCs w:val="21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Tahoma" w:hAnsi="Tahoma" w:cs="Tahoma"/>
          <w:b/>
          <w:bCs/>
          <w:snapToGrid/>
          <w:spacing w:val="11"/>
          <w:sz w:val="21"/>
          <w:szCs w:val="21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076970"/>
    <w:rsid w:val="00076970"/>
    <w:rsid w:val="0061552B"/>
    <w:rsid w:val="006559D0"/>
    <w:rsid w:val="007A57C2"/>
    <w:rsid w:val="00875F8C"/>
    <w:rsid w:val="0094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8C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75F8C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875F8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2014-08-26T21:11:00Z</dcterms:created>
  <dcterms:modified xsi:type="dcterms:W3CDTF">2015-07-01T16:20:00Z</dcterms:modified>
</cp:coreProperties>
</file>